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F47" w:rsidRDefault="00EC3F4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F47">
        <w:rPr>
          <w:rFonts w:ascii="Times New Roman" w:hAnsi="Times New Roman" w:cs="Times New Roman"/>
          <w:b/>
          <w:sz w:val="28"/>
          <w:szCs w:val="28"/>
        </w:rPr>
        <w:t xml:space="preserve">На первом </w:t>
      </w:r>
      <w:r w:rsidR="00686212">
        <w:rPr>
          <w:rFonts w:ascii="Times New Roman" w:hAnsi="Times New Roman" w:cs="Times New Roman"/>
          <w:b/>
          <w:sz w:val="28"/>
          <w:szCs w:val="28"/>
        </w:rPr>
        <w:t xml:space="preserve">в этом году </w:t>
      </w:r>
      <w:r w:rsidRPr="00EC3F47">
        <w:rPr>
          <w:rFonts w:ascii="Times New Roman" w:hAnsi="Times New Roman" w:cs="Times New Roman"/>
          <w:b/>
          <w:sz w:val="28"/>
          <w:szCs w:val="28"/>
        </w:rPr>
        <w:t xml:space="preserve">заседании Общественного совета при </w:t>
      </w:r>
      <w:r>
        <w:rPr>
          <w:rFonts w:ascii="Times New Roman" w:hAnsi="Times New Roman" w:cs="Times New Roman"/>
          <w:b/>
          <w:sz w:val="28"/>
          <w:szCs w:val="28"/>
        </w:rPr>
        <w:t>омском</w:t>
      </w:r>
      <w:r w:rsidRPr="00EC3F47">
        <w:rPr>
          <w:rFonts w:ascii="Times New Roman" w:hAnsi="Times New Roman" w:cs="Times New Roman"/>
          <w:b/>
          <w:sz w:val="28"/>
          <w:szCs w:val="28"/>
        </w:rPr>
        <w:t xml:space="preserve"> Росреестр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EC3F47">
        <w:rPr>
          <w:rFonts w:ascii="Times New Roman" w:hAnsi="Times New Roman" w:cs="Times New Roman"/>
          <w:b/>
          <w:sz w:val="28"/>
          <w:szCs w:val="28"/>
        </w:rPr>
        <w:t xml:space="preserve"> обсудили </w:t>
      </w:r>
      <w:r>
        <w:rPr>
          <w:rFonts w:ascii="Times New Roman" w:hAnsi="Times New Roman" w:cs="Times New Roman"/>
          <w:b/>
          <w:sz w:val="28"/>
          <w:szCs w:val="28"/>
        </w:rPr>
        <w:t xml:space="preserve">итоги профильной деятельности и </w:t>
      </w:r>
      <w:r w:rsidRPr="00EC3F47">
        <w:rPr>
          <w:rFonts w:ascii="Times New Roman" w:hAnsi="Times New Roman" w:cs="Times New Roman"/>
          <w:b/>
          <w:sz w:val="28"/>
          <w:szCs w:val="28"/>
        </w:rPr>
        <w:t>ход ККР в регионе</w:t>
      </w:r>
    </w:p>
    <w:p w:rsidR="00686212" w:rsidRDefault="00686212">
      <w:pPr>
        <w:contextualSpacing/>
        <w:jc w:val="both"/>
        <w:rPr>
          <w:rFonts w:ascii="Times New Roman" w:eastAsia="Tinos" w:hAnsi="Times New Roman" w:cs="Times New Roman"/>
          <w:b/>
          <w:sz w:val="28"/>
          <w:szCs w:val="28"/>
        </w:rPr>
      </w:pPr>
    </w:p>
    <w:p w:rsidR="00EC3F47" w:rsidRDefault="001F5EC2" w:rsidP="00EC3F47">
      <w:pPr>
        <w:ind w:firstLine="709"/>
        <w:contextualSpacing/>
        <w:jc w:val="both"/>
        <w:rPr>
          <w:rFonts w:ascii="Times New Roman" w:eastAsia="Tinos" w:hAnsi="Times New Roman" w:cs="Times New Roman"/>
          <w:b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В пятницу</w:t>
      </w:r>
      <w:r w:rsidR="00EC3F47">
        <w:rPr>
          <w:rFonts w:ascii="Tinos" w:eastAsia="Tinos" w:hAnsi="Tinos" w:cs="Tinos"/>
          <w:sz w:val="28"/>
          <w:szCs w:val="28"/>
        </w:rPr>
        <w:t xml:space="preserve">, 27 </w:t>
      </w:r>
      <w:r>
        <w:rPr>
          <w:rFonts w:ascii="Tinos" w:eastAsia="Tinos" w:hAnsi="Tinos" w:cs="Tinos"/>
          <w:sz w:val="28"/>
          <w:szCs w:val="28"/>
        </w:rPr>
        <w:t>марта</w:t>
      </w:r>
      <w:r w:rsidR="00EC3F47">
        <w:rPr>
          <w:rFonts w:ascii="Tinos" w:eastAsia="Tinos" w:hAnsi="Tinos" w:cs="Tinos"/>
          <w:sz w:val="28"/>
          <w:szCs w:val="28"/>
        </w:rPr>
        <w:t xml:space="preserve"> 2026 года, </w:t>
      </w:r>
      <w:r>
        <w:rPr>
          <w:rFonts w:ascii="Tinos" w:eastAsia="Tinos" w:hAnsi="Tinos" w:cs="Tinos"/>
          <w:sz w:val="28"/>
          <w:szCs w:val="28"/>
        </w:rPr>
        <w:t>под председательством декана</w:t>
      </w:r>
      <w:r w:rsidR="00EC3F47">
        <w:rPr>
          <w:rFonts w:ascii="Tinos" w:eastAsia="Tinos" w:hAnsi="Tinos" w:cs="Tinos"/>
          <w:sz w:val="28"/>
          <w:szCs w:val="28"/>
        </w:rPr>
        <w:t xml:space="preserve"> землеустроительного факультета </w:t>
      </w:r>
      <w:r>
        <w:rPr>
          <w:rFonts w:ascii="Tinos" w:eastAsia="Tinos" w:hAnsi="Tinos" w:cs="Tinos"/>
          <w:sz w:val="28"/>
          <w:szCs w:val="28"/>
        </w:rPr>
        <w:t xml:space="preserve">Омского государственного аграрного университета </w:t>
      </w:r>
      <w:r w:rsidR="00EC3F47">
        <w:rPr>
          <w:rFonts w:ascii="Tinos" w:eastAsia="Tinos" w:hAnsi="Tinos" w:cs="Tinos"/>
          <w:sz w:val="28"/>
          <w:szCs w:val="28"/>
        </w:rPr>
        <w:t xml:space="preserve">им. П.А. Столыпина, кандидата экономических наук Ольги Долматовой состоялось первое в текущем году </w:t>
      </w:r>
      <w:r>
        <w:rPr>
          <w:rFonts w:ascii="Tinos" w:eastAsia="Tinos" w:hAnsi="Tinos" w:cs="Tinos"/>
          <w:sz w:val="28"/>
          <w:szCs w:val="28"/>
        </w:rPr>
        <w:t>заседание Общественного совета при Управлении Росреестра по Омской области.</w:t>
      </w:r>
    </w:p>
    <w:p w:rsidR="00101F4F" w:rsidRPr="00EC3F47" w:rsidRDefault="00EC3F47" w:rsidP="00EC3F47">
      <w:pPr>
        <w:ind w:firstLine="709"/>
        <w:contextualSpacing/>
        <w:jc w:val="both"/>
        <w:rPr>
          <w:rFonts w:ascii="Times New Roman" w:eastAsia="Tinos" w:hAnsi="Times New Roman" w:cs="Times New Roman"/>
          <w:b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В работе Совета приняли участие </w:t>
      </w:r>
      <w:r w:rsidR="001F5EC2">
        <w:rPr>
          <w:rFonts w:ascii="Tinos" w:eastAsia="Tinos" w:hAnsi="Tinos" w:cs="Tinos"/>
          <w:sz w:val="28"/>
          <w:szCs w:val="28"/>
        </w:rPr>
        <w:t>члены Общественного совета, пред</w:t>
      </w:r>
      <w:r>
        <w:rPr>
          <w:rFonts w:ascii="Tinos" w:eastAsia="Tinos" w:hAnsi="Tinos" w:cs="Tinos"/>
          <w:sz w:val="28"/>
          <w:szCs w:val="28"/>
        </w:rPr>
        <w:t xml:space="preserve">ставители Управления Росреестра и </w:t>
      </w:r>
      <w:r w:rsidR="001F5EC2">
        <w:rPr>
          <w:rFonts w:ascii="Tinos" w:eastAsia="Tinos" w:hAnsi="Tinos" w:cs="Tinos"/>
          <w:sz w:val="28"/>
          <w:szCs w:val="28"/>
        </w:rPr>
        <w:t>филиала ППК «Роскадастр».</w:t>
      </w:r>
    </w:p>
    <w:p w:rsidR="00101F4F" w:rsidRDefault="00EC3F47" w:rsidP="00EC3F47">
      <w:pPr>
        <w:ind w:firstLine="709"/>
        <w:contextualSpacing/>
        <w:jc w:val="both"/>
        <w:rPr>
          <w:rFonts w:ascii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В рамках заседания обсуждались </w:t>
      </w:r>
      <w:r w:rsidR="001F5EC2">
        <w:rPr>
          <w:rFonts w:ascii="Tinos" w:eastAsia="Tinos" w:hAnsi="Tinos" w:cs="Tinos"/>
          <w:sz w:val="28"/>
          <w:szCs w:val="28"/>
        </w:rPr>
        <w:t>итоги работы Управления в</w:t>
      </w:r>
      <w:r>
        <w:rPr>
          <w:rFonts w:ascii="Tinos" w:eastAsia="Tinos" w:hAnsi="Tinos" w:cs="Tinos"/>
          <w:sz w:val="28"/>
          <w:szCs w:val="28"/>
        </w:rPr>
        <w:t xml:space="preserve"> учетно-регистрационной сфере за </w:t>
      </w:r>
      <w:r w:rsidR="001F5EC2">
        <w:rPr>
          <w:rFonts w:ascii="Tinos" w:eastAsia="Tinos" w:hAnsi="Tinos" w:cs="Tinos"/>
          <w:sz w:val="28"/>
          <w:szCs w:val="28"/>
        </w:rPr>
        <w:t>п</w:t>
      </w:r>
      <w:r>
        <w:rPr>
          <w:rFonts w:ascii="Tinos" w:eastAsia="Tinos" w:hAnsi="Tinos" w:cs="Tinos"/>
          <w:sz w:val="28"/>
          <w:szCs w:val="28"/>
        </w:rPr>
        <w:t xml:space="preserve">рошедший год, а также вопросы, </w:t>
      </w:r>
      <w:r w:rsidR="001F5EC2">
        <w:rPr>
          <w:rFonts w:ascii="Tinos" w:eastAsia="Tinos" w:hAnsi="Tinos" w:cs="Tinos"/>
          <w:sz w:val="28"/>
          <w:szCs w:val="28"/>
        </w:rPr>
        <w:t xml:space="preserve">связанные с проведением на территории региона комплексных </w:t>
      </w:r>
      <w:r>
        <w:rPr>
          <w:rFonts w:ascii="Tinos" w:eastAsia="Tinos" w:hAnsi="Tinos" w:cs="Tinos"/>
          <w:sz w:val="28"/>
          <w:szCs w:val="28"/>
        </w:rPr>
        <w:t xml:space="preserve">кадастровых работ и выявлением </w:t>
      </w:r>
      <w:r w:rsidR="001F5EC2">
        <w:rPr>
          <w:rFonts w:ascii="Tinos" w:eastAsia="Tinos" w:hAnsi="Tinos" w:cs="Tinos"/>
          <w:sz w:val="28"/>
          <w:szCs w:val="28"/>
        </w:rPr>
        <w:t>п</w:t>
      </w:r>
      <w:r>
        <w:rPr>
          <w:rFonts w:ascii="Tinos" w:eastAsia="Tinos" w:hAnsi="Tinos" w:cs="Tinos"/>
          <w:sz w:val="28"/>
          <w:szCs w:val="28"/>
        </w:rPr>
        <w:t xml:space="preserve">равообладателей ранее учтенных </w:t>
      </w:r>
      <w:r w:rsidR="001F5EC2">
        <w:rPr>
          <w:rFonts w:ascii="Tinos" w:eastAsia="Tinos" w:hAnsi="Tinos" w:cs="Tinos"/>
          <w:sz w:val="28"/>
          <w:szCs w:val="28"/>
        </w:rPr>
        <w:t>объектов недвижимости</w:t>
      </w:r>
    </w:p>
    <w:p w:rsidR="00101F4F" w:rsidRDefault="001F5EC2" w:rsidP="00EC3F47">
      <w:pPr>
        <w:ind w:firstLine="709"/>
        <w:contextualSpacing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По результатам заседания было отмечено, </w:t>
      </w:r>
      <w:r w:rsidR="00EC3F47">
        <w:rPr>
          <w:rFonts w:ascii="Times New Roman" w:hAnsi="Times New Roman" w:cs="Times New Roman"/>
          <w:sz w:val="28"/>
          <w:szCs w:val="28"/>
        </w:rPr>
        <w:t xml:space="preserve">что за прошедший год </w:t>
      </w:r>
      <w:r>
        <w:rPr>
          <w:rFonts w:ascii="Times New Roman" w:hAnsi="Times New Roman" w:cs="Times New Roman"/>
          <w:sz w:val="28"/>
          <w:szCs w:val="28"/>
        </w:rPr>
        <w:t>в сравнении с 2024 годом на 5</w:t>
      </w:r>
      <w:r w:rsidR="00A23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увеличилось количество заявлений, поступивших в Управление для целей кадастрового учета, и на 6</w:t>
      </w:r>
      <w:r w:rsidR="00A23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уменьшился показатель по поступившим заявлениям на</w:t>
      </w:r>
      <w:r w:rsidR="00EC3F47">
        <w:rPr>
          <w:rFonts w:ascii="Times New Roman" w:hAnsi="Times New Roman" w:cs="Times New Roman"/>
          <w:sz w:val="28"/>
          <w:szCs w:val="28"/>
        </w:rPr>
        <w:t xml:space="preserve"> регистрацию прав. Более 70 % поступивших заявлений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представлено в электронном виде </w:t>
      </w:r>
      <w:r w:rsidR="00A2394F">
        <w:rPr>
          <w:rFonts w:ascii="Times New Roman" w:hAnsi="Times New Roman" w:cs="Times New Roman"/>
          <w:sz w:val="28"/>
          <w:szCs w:val="28"/>
        </w:rPr>
        <w:t xml:space="preserve">(в 2024 году – 57 %). </w:t>
      </w:r>
      <w:r w:rsidR="00EC3F47">
        <w:rPr>
          <w:rFonts w:ascii="Times New Roman" w:hAnsi="Times New Roman" w:cs="Times New Roman"/>
          <w:sz w:val="28"/>
          <w:szCs w:val="28"/>
        </w:rPr>
        <w:t xml:space="preserve">На 25 % </w:t>
      </w:r>
      <w:r>
        <w:rPr>
          <w:rFonts w:ascii="Times New Roman" w:hAnsi="Times New Roman" w:cs="Times New Roman"/>
          <w:sz w:val="28"/>
          <w:szCs w:val="28"/>
        </w:rPr>
        <w:t>увеличилось количество заявлений на регистрацию договоров долевого у</w:t>
      </w:r>
      <w:r w:rsidR="00EC3F47">
        <w:rPr>
          <w:rFonts w:ascii="Times New Roman" w:hAnsi="Times New Roman" w:cs="Times New Roman"/>
          <w:sz w:val="28"/>
          <w:szCs w:val="28"/>
        </w:rPr>
        <w:t>частия в строительстве (3</w:t>
      </w:r>
      <w:r w:rsidR="00686212">
        <w:rPr>
          <w:rFonts w:ascii="Times New Roman" w:hAnsi="Times New Roman" w:cs="Times New Roman"/>
          <w:sz w:val="28"/>
          <w:szCs w:val="28"/>
        </w:rPr>
        <w:t xml:space="preserve"> </w:t>
      </w:r>
      <w:r w:rsidR="00EC3F47">
        <w:rPr>
          <w:rFonts w:ascii="Times New Roman" w:hAnsi="Times New Roman" w:cs="Times New Roman"/>
          <w:sz w:val="28"/>
          <w:szCs w:val="28"/>
        </w:rPr>
        <w:t xml:space="preserve">455). На 4 % </w:t>
      </w:r>
      <w:r w:rsidR="00A2394F">
        <w:rPr>
          <w:rFonts w:ascii="Times New Roman" w:hAnsi="Times New Roman" w:cs="Times New Roman"/>
          <w:sz w:val="28"/>
          <w:szCs w:val="28"/>
        </w:rPr>
        <w:t xml:space="preserve">зафиксировано увеличение </w:t>
      </w:r>
      <w:r>
        <w:rPr>
          <w:rFonts w:ascii="Times New Roman" w:hAnsi="Times New Roman" w:cs="Times New Roman"/>
          <w:sz w:val="28"/>
          <w:szCs w:val="28"/>
        </w:rPr>
        <w:t>оформленных объектов</w:t>
      </w:r>
      <w:r w:rsidR="00A2394F">
        <w:rPr>
          <w:rFonts w:ascii="Times New Roman" w:hAnsi="Times New Roman" w:cs="Times New Roman"/>
          <w:sz w:val="28"/>
          <w:szCs w:val="28"/>
        </w:rPr>
        <w:t xml:space="preserve"> жилой недвижимости в рамках «дачной амнистии»</w:t>
      </w:r>
      <w:r w:rsidR="006B728F">
        <w:rPr>
          <w:rFonts w:ascii="Times New Roman" w:hAnsi="Times New Roman" w:cs="Times New Roman"/>
          <w:sz w:val="28"/>
          <w:szCs w:val="28"/>
        </w:rPr>
        <w:t>.</w:t>
      </w:r>
      <w:r w:rsidR="00A2394F">
        <w:rPr>
          <w:rFonts w:ascii="Times New Roman" w:hAnsi="Times New Roman" w:cs="Times New Roman"/>
          <w:sz w:val="28"/>
          <w:szCs w:val="28"/>
        </w:rPr>
        <w:t xml:space="preserve"> </w:t>
      </w:r>
      <w:r w:rsidR="006B728F">
        <w:rPr>
          <w:rFonts w:ascii="Times New Roman" w:hAnsi="Times New Roman" w:cs="Times New Roman"/>
          <w:sz w:val="28"/>
          <w:szCs w:val="28"/>
        </w:rPr>
        <w:t xml:space="preserve">В истекшем году на 22 % уменьшился показатель по </w:t>
      </w:r>
      <w:r>
        <w:rPr>
          <w:rFonts w:ascii="Times New Roman" w:hAnsi="Times New Roman" w:cs="Times New Roman"/>
          <w:sz w:val="28"/>
          <w:szCs w:val="28"/>
        </w:rPr>
        <w:t>количеству заявлений на регистрацию ипотеки. Положительная динамика прослеживается в части пок</w:t>
      </w:r>
      <w:r w:rsidR="006B728F">
        <w:rPr>
          <w:rFonts w:ascii="Times New Roman" w:hAnsi="Times New Roman" w:cs="Times New Roman"/>
          <w:sz w:val="28"/>
          <w:szCs w:val="28"/>
        </w:rPr>
        <w:t>азателей, характеризующих долю решений о приостановлении учетно-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регистрационных действий, </w:t>
      </w:r>
      <w:r w:rsidR="006B728F" w:rsidRPr="006B728F">
        <w:rPr>
          <w:rFonts w:ascii="Times New Roman" w:hAnsi="Times New Roman" w:cs="Times New Roman"/>
          <w:sz w:val="28"/>
          <w:szCs w:val="28"/>
        </w:rPr>
        <w:t>–</w:t>
      </w:r>
      <w:r w:rsidR="006B72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0,9 %.  </w:t>
      </w:r>
    </w:p>
    <w:p w:rsidR="00686212" w:rsidRDefault="00EC3F47" w:rsidP="00686212">
      <w:pPr>
        <w:ind w:firstLine="709"/>
        <w:contextualSpacing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Особое </w:t>
      </w:r>
      <w:r w:rsidR="001F5EC2">
        <w:rPr>
          <w:rFonts w:ascii="Tinos" w:eastAsia="Tinos" w:hAnsi="Tinos" w:cs="Tinos"/>
          <w:sz w:val="28"/>
          <w:szCs w:val="28"/>
        </w:rPr>
        <w:t xml:space="preserve">внимание участники заседания уделили </w:t>
      </w:r>
      <w:r>
        <w:rPr>
          <w:rFonts w:ascii="Tinos" w:eastAsia="Tinos" w:hAnsi="Tinos" w:cs="Tinos"/>
          <w:sz w:val="28"/>
          <w:szCs w:val="28"/>
        </w:rPr>
        <w:t>о</w:t>
      </w:r>
      <w:r w:rsidR="001F5EC2">
        <w:rPr>
          <w:rFonts w:ascii="Tinos" w:eastAsia="Tinos" w:hAnsi="Tinos" w:cs="Tinos"/>
          <w:sz w:val="28"/>
          <w:szCs w:val="28"/>
        </w:rPr>
        <w:t>бсуждению результатов комплексных кадастровых работ на территории Омской области, достигнут</w:t>
      </w:r>
      <w:r w:rsidR="006B728F">
        <w:rPr>
          <w:rFonts w:ascii="Tinos" w:eastAsia="Tinos" w:hAnsi="Tinos" w:cs="Tinos"/>
          <w:sz w:val="28"/>
          <w:szCs w:val="28"/>
        </w:rPr>
        <w:t xml:space="preserve">ых по итогам прошедшего года и </w:t>
      </w:r>
      <w:r w:rsidR="00686212">
        <w:rPr>
          <w:rFonts w:ascii="Tinos" w:eastAsia="Tinos" w:hAnsi="Tinos" w:cs="Tinos"/>
          <w:sz w:val="28"/>
          <w:szCs w:val="28"/>
        </w:rPr>
        <w:t>перспектив на последующие годы.</w:t>
      </w:r>
    </w:p>
    <w:p w:rsidR="00686212" w:rsidRPr="00686212" w:rsidRDefault="00686212" w:rsidP="00686212">
      <w:pPr>
        <w:ind w:firstLine="709"/>
        <w:contextualSpacing/>
        <w:jc w:val="both"/>
        <w:rPr>
          <w:rFonts w:ascii="Tinos" w:eastAsia="Tinos" w:hAnsi="Tinos" w:cs="Tinos"/>
          <w:sz w:val="28"/>
          <w:szCs w:val="28"/>
        </w:rPr>
      </w:pPr>
      <w:r w:rsidRPr="00686212">
        <w:rPr>
          <w:rFonts w:ascii="Tinos" w:eastAsia="Tinos" w:hAnsi="Tinos" w:cs="Tinos"/>
          <w:sz w:val="28"/>
          <w:szCs w:val="28"/>
        </w:rPr>
        <w:t>По итогам работ 2025 года</w:t>
      </w:r>
      <w:r>
        <w:rPr>
          <w:rFonts w:ascii="Tinos" w:eastAsia="Tinos" w:hAnsi="Tinos" w:cs="Tinos"/>
          <w:sz w:val="28"/>
          <w:szCs w:val="28"/>
        </w:rPr>
        <w:t>, в</w:t>
      </w:r>
      <w:r w:rsidRPr="00686212">
        <w:rPr>
          <w:rFonts w:ascii="Tinos" w:eastAsia="Tinos" w:hAnsi="Tinos" w:cs="Tinos"/>
          <w:sz w:val="28"/>
          <w:szCs w:val="28"/>
        </w:rPr>
        <w:t xml:space="preserve"> ЕГРН внесены сведения в отношении 251 кадастрового квартала, содержащих 90</w:t>
      </w:r>
      <w:r>
        <w:rPr>
          <w:rFonts w:ascii="Tinos" w:eastAsia="Tinos" w:hAnsi="Tinos" w:cs="Tinos"/>
          <w:sz w:val="28"/>
          <w:szCs w:val="28"/>
        </w:rPr>
        <w:t xml:space="preserve"> </w:t>
      </w:r>
      <w:r w:rsidRPr="00686212">
        <w:rPr>
          <w:rFonts w:ascii="Tinos" w:eastAsia="Tinos" w:hAnsi="Tinos" w:cs="Tinos"/>
          <w:sz w:val="28"/>
          <w:szCs w:val="28"/>
        </w:rPr>
        <w:t>234 объекта недвижимости</w:t>
      </w:r>
      <w:r>
        <w:rPr>
          <w:rFonts w:ascii="Tinos" w:eastAsia="Tinos" w:hAnsi="Tinos" w:cs="Tinos"/>
          <w:sz w:val="28"/>
          <w:szCs w:val="28"/>
        </w:rPr>
        <w:t>,</w:t>
      </w:r>
      <w:r w:rsidRPr="00686212">
        <w:rPr>
          <w:rFonts w:ascii="Tinos" w:eastAsia="Tinos" w:hAnsi="Tinos" w:cs="Tinos"/>
          <w:sz w:val="28"/>
          <w:szCs w:val="28"/>
        </w:rPr>
        <w:t xml:space="preserve"> при установленном показателе для Омской области в 85</w:t>
      </w:r>
      <w:r>
        <w:rPr>
          <w:rFonts w:ascii="Tinos" w:eastAsia="Tinos" w:hAnsi="Tinos" w:cs="Tinos"/>
          <w:sz w:val="28"/>
          <w:szCs w:val="28"/>
        </w:rPr>
        <w:t xml:space="preserve"> </w:t>
      </w:r>
      <w:r w:rsidRPr="00686212">
        <w:rPr>
          <w:rFonts w:ascii="Tinos" w:eastAsia="Tinos" w:hAnsi="Tinos" w:cs="Tinos"/>
          <w:sz w:val="28"/>
          <w:szCs w:val="28"/>
        </w:rPr>
        <w:t>000 объектов.</w:t>
      </w:r>
    </w:p>
    <w:p w:rsidR="00686212" w:rsidRDefault="00686212" w:rsidP="00686212">
      <w:pPr>
        <w:ind w:firstLine="709"/>
        <w:contextualSpacing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На заседании Совета отмечено, что в</w:t>
      </w:r>
      <w:r w:rsidRPr="00686212">
        <w:rPr>
          <w:rFonts w:ascii="Tinos" w:eastAsia="Tinos" w:hAnsi="Tinos" w:cs="Tinos"/>
          <w:sz w:val="28"/>
          <w:szCs w:val="28"/>
        </w:rPr>
        <w:t xml:space="preserve"> текущем году ККР проводятся в отношении 1</w:t>
      </w:r>
      <w:r>
        <w:rPr>
          <w:rFonts w:ascii="Tinos" w:eastAsia="Tinos" w:hAnsi="Tinos" w:cs="Tinos"/>
          <w:sz w:val="28"/>
          <w:szCs w:val="28"/>
        </w:rPr>
        <w:t xml:space="preserve"> </w:t>
      </w:r>
      <w:r w:rsidRPr="00686212">
        <w:rPr>
          <w:rFonts w:ascii="Tinos" w:eastAsia="Tinos" w:hAnsi="Tinos" w:cs="Tinos"/>
          <w:sz w:val="28"/>
          <w:szCs w:val="28"/>
        </w:rPr>
        <w:t>253 кадастровых кварталов</w:t>
      </w:r>
      <w:r>
        <w:rPr>
          <w:rFonts w:ascii="Tinos" w:eastAsia="Tinos" w:hAnsi="Tinos" w:cs="Tinos"/>
          <w:sz w:val="28"/>
          <w:szCs w:val="28"/>
        </w:rPr>
        <w:t xml:space="preserve">, </w:t>
      </w:r>
      <w:r w:rsidRPr="00686212">
        <w:rPr>
          <w:rFonts w:ascii="Tinos" w:eastAsia="Tinos" w:hAnsi="Tinos" w:cs="Tinos"/>
          <w:sz w:val="28"/>
          <w:szCs w:val="28"/>
        </w:rPr>
        <w:t>расположенных на территориях 25 муниципальных округов. Ориентировочное количество объектов</w:t>
      </w:r>
      <w:r>
        <w:rPr>
          <w:rFonts w:ascii="Tinos" w:eastAsia="Tinos" w:hAnsi="Tinos" w:cs="Tinos"/>
          <w:sz w:val="28"/>
          <w:szCs w:val="28"/>
        </w:rPr>
        <w:t>,</w:t>
      </w:r>
      <w:r w:rsidRPr="00686212">
        <w:rPr>
          <w:rFonts w:ascii="Tinos" w:eastAsia="Tinos" w:hAnsi="Tinos" w:cs="Tinos"/>
          <w:sz w:val="28"/>
          <w:szCs w:val="28"/>
        </w:rPr>
        <w:t xml:space="preserve"> границы которых будут уточнены</w:t>
      </w:r>
      <w:r>
        <w:rPr>
          <w:rFonts w:ascii="Tinos" w:eastAsia="Tinos" w:hAnsi="Tinos" w:cs="Tinos"/>
          <w:sz w:val="28"/>
          <w:szCs w:val="28"/>
        </w:rPr>
        <w:t xml:space="preserve">, </w:t>
      </w:r>
      <w:r w:rsidRPr="00686212">
        <w:rPr>
          <w:rFonts w:ascii="Tinos" w:eastAsia="Tinos" w:hAnsi="Tinos" w:cs="Tinos"/>
          <w:sz w:val="28"/>
          <w:szCs w:val="28"/>
        </w:rPr>
        <w:t>–</w:t>
      </w:r>
      <w:r>
        <w:rPr>
          <w:rFonts w:ascii="Tinos" w:eastAsia="Tinos" w:hAnsi="Tinos" w:cs="Tinos"/>
          <w:sz w:val="28"/>
          <w:szCs w:val="28"/>
        </w:rPr>
        <w:t xml:space="preserve"> </w:t>
      </w:r>
      <w:r w:rsidRPr="00686212">
        <w:rPr>
          <w:rFonts w:ascii="Tinos" w:eastAsia="Tinos" w:hAnsi="Tinos" w:cs="Tinos"/>
          <w:sz w:val="28"/>
          <w:szCs w:val="28"/>
        </w:rPr>
        <w:t>81</w:t>
      </w:r>
      <w:r>
        <w:rPr>
          <w:rFonts w:ascii="Tinos" w:eastAsia="Tinos" w:hAnsi="Tinos" w:cs="Tinos"/>
          <w:sz w:val="28"/>
          <w:szCs w:val="28"/>
        </w:rPr>
        <w:t xml:space="preserve"> </w:t>
      </w:r>
      <w:r w:rsidRPr="00686212">
        <w:rPr>
          <w:rFonts w:ascii="Tinos" w:eastAsia="Tinos" w:hAnsi="Tinos" w:cs="Tinos"/>
          <w:sz w:val="28"/>
          <w:szCs w:val="28"/>
        </w:rPr>
        <w:t>543 при установленном показателе в 70</w:t>
      </w:r>
      <w:r>
        <w:rPr>
          <w:rFonts w:ascii="Tinos" w:eastAsia="Tinos" w:hAnsi="Tinos" w:cs="Tinos"/>
          <w:sz w:val="28"/>
          <w:szCs w:val="28"/>
        </w:rPr>
        <w:t xml:space="preserve"> </w:t>
      </w:r>
      <w:r w:rsidRPr="00686212">
        <w:rPr>
          <w:rFonts w:ascii="Tinos" w:eastAsia="Tinos" w:hAnsi="Tinos" w:cs="Tinos"/>
          <w:sz w:val="28"/>
          <w:szCs w:val="28"/>
        </w:rPr>
        <w:t>900 объектов.</w:t>
      </w:r>
    </w:p>
    <w:p w:rsidR="006B728F" w:rsidRDefault="001F5EC2" w:rsidP="006B728F">
      <w:pPr>
        <w:ind w:firstLine="709"/>
        <w:contextualSpacing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728F">
        <w:rPr>
          <w:rFonts w:ascii="Times New Roman" w:hAnsi="Times New Roman" w:cs="Times New Roman"/>
          <w:sz w:val="28"/>
          <w:szCs w:val="28"/>
        </w:rPr>
        <w:t xml:space="preserve">о результатам заседания принято решение об участии членов </w:t>
      </w:r>
      <w:r w:rsidR="00686212">
        <w:rPr>
          <w:rFonts w:ascii="Times New Roman" w:hAnsi="Times New Roman" w:cs="Times New Roman"/>
          <w:sz w:val="28"/>
          <w:szCs w:val="28"/>
        </w:rPr>
        <w:t>С</w:t>
      </w:r>
      <w:r w:rsidR="006B728F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 xml:space="preserve"> в проведении информационных кампаний, посвященных разъяснению населению порядка проведения</w:t>
      </w:r>
      <w:r w:rsidR="006B72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комплексных кадастровых работ федерального значения на территории населенных пунктов.</w:t>
      </w:r>
    </w:p>
    <w:p w:rsidR="00101F4F" w:rsidRPr="006B728F" w:rsidRDefault="006B728F" w:rsidP="006B728F">
      <w:pPr>
        <w:ind w:firstLine="709"/>
        <w:contextualSpacing/>
        <w:jc w:val="both"/>
        <w:rPr>
          <w:rFonts w:ascii="Tinos" w:eastAsia="Tinos" w:hAnsi="Tinos" w:cs="Tinos"/>
          <w:b/>
          <w:sz w:val="28"/>
          <w:szCs w:val="28"/>
        </w:rPr>
      </w:pPr>
      <w:r w:rsidRPr="006B728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«Филиалом «ППК Роскадастр» 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 xml:space="preserve">проводятся комплексные </w:t>
      </w:r>
      <w:r w:rsidRPr="006B728F">
        <w:rPr>
          <w:rFonts w:ascii="Times New Roman" w:hAnsi="Times New Roman" w:cs="Times New Roman"/>
          <w:i/>
          <w:sz w:val="28"/>
          <w:szCs w:val="28"/>
        </w:rPr>
        <w:t xml:space="preserve">кадастровые работы, приносящие 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>только положите</w:t>
      </w:r>
      <w:r w:rsidRPr="006B728F">
        <w:rPr>
          <w:rFonts w:ascii="Times New Roman" w:hAnsi="Times New Roman" w:cs="Times New Roman"/>
          <w:i/>
          <w:sz w:val="28"/>
          <w:szCs w:val="28"/>
        </w:rPr>
        <w:t xml:space="preserve">льные результаты для населения Омской 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>области, поскольку в ходе их проведения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 xml:space="preserve">уточняется местоположение границ земельных </w:t>
      </w:r>
      <w:r w:rsidRPr="006B728F">
        <w:rPr>
          <w:rFonts w:ascii="Times New Roman" w:hAnsi="Times New Roman" w:cs="Times New Roman"/>
          <w:i/>
          <w:sz w:val="28"/>
          <w:szCs w:val="28"/>
        </w:rPr>
        <w:t>участков и всех объектов капитал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>ьного строительства, исправляются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реестровые ошибки, </w:t>
      </w:r>
      <w:r w:rsidRPr="006B728F">
        <w:rPr>
          <w:rFonts w:ascii="Times New Roman" w:hAnsi="Times New Roman" w:cs="Times New Roman"/>
          <w:i/>
          <w:sz w:val="28"/>
          <w:szCs w:val="28"/>
        </w:rPr>
        <w:t xml:space="preserve">выявляются 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>правообладатели и бесхозяйные объекты не</w:t>
      </w:r>
      <w:r>
        <w:rPr>
          <w:rFonts w:ascii="Times New Roman" w:hAnsi="Times New Roman" w:cs="Times New Roman"/>
          <w:i/>
          <w:sz w:val="28"/>
          <w:szCs w:val="28"/>
        </w:rPr>
        <w:t xml:space="preserve">движимости, что </w:t>
      </w:r>
      <w:r w:rsidRPr="006B728F">
        <w:rPr>
          <w:rFonts w:ascii="Times New Roman" w:hAnsi="Times New Roman" w:cs="Times New Roman"/>
          <w:i/>
          <w:sz w:val="28"/>
          <w:szCs w:val="28"/>
        </w:rPr>
        <w:t xml:space="preserve">способствует 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 xml:space="preserve">достижению полноты </w:t>
      </w:r>
      <w:r w:rsidRPr="006B728F">
        <w:rPr>
          <w:rFonts w:ascii="Times New Roman" w:hAnsi="Times New Roman" w:cs="Times New Roman"/>
          <w:i/>
          <w:sz w:val="28"/>
          <w:szCs w:val="28"/>
        </w:rPr>
        <w:t>и точности данных ЕГРН. И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>менно поэт</w:t>
      </w:r>
      <w:r w:rsidRPr="006B728F">
        <w:rPr>
          <w:rFonts w:ascii="Times New Roman" w:hAnsi="Times New Roman" w:cs="Times New Roman"/>
          <w:i/>
          <w:sz w:val="28"/>
          <w:szCs w:val="28"/>
        </w:rPr>
        <w:t xml:space="preserve">ому на этапе проводимых работ очень важно конструктивное взаимодействие </w:t>
      </w:r>
      <w:r w:rsidR="001F5EC2" w:rsidRPr="006B728F">
        <w:rPr>
          <w:rFonts w:ascii="Times New Roman" w:hAnsi="Times New Roman" w:cs="Times New Roman"/>
          <w:i/>
          <w:sz w:val="28"/>
          <w:szCs w:val="28"/>
        </w:rPr>
        <w:t>между Управлением Росреестра, филиалом «ППК Роскадастр», региональными и местными властями»,</w:t>
      </w:r>
      <w:r>
        <w:rPr>
          <w:rFonts w:ascii="Times New Roman" w:hAnsi="Times New Roman" w:cs="Times New Roman"/>
          <w:sz w:val="28"/>
          <w:szCs w:val="28"/>
        </w:rPr>
        <w:t xml:space="preserve"> – резюмировала </w:t>
      </w:r>
      <w:r w:rsidR="001F5EC2">
        <w:rPr>
          <w:rFonts w:ascii="Times New Roman" w:hAnsi="Times New Roman" w:cs="Times New Roman"/>
          <w:sz w:val="28"/>
          <w:szCs w:val="28"/>
        </w:rPr>
        <w:t xml:space="preserve">председатель Общественного Совета при Управлении Росреестра </w:t>
      </w:r>
      <w:r w:rsidR="001F5EC2" w:rsidRPr="006B728F">
        <w:rPr>
          <w:rFonts w:ascii="Times New Roman" w:hAnsi="Times New Roman" w:cs="Times New Roman"/>
          <w:b/>
          <w:sz w:val="28"/>
          <w:szCs w:val="28"/>
        </w:rPr>
        <w:t xml:space="preserve">Ольга Долматова. </w:t>
      </w:r>
    </w:p>
    <w:p w:rsidR="00101F4F" w:rsidRDefault="00101F4F" w:rsidP="00EC3F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65A" w:rsidRDefault="000E065A" w:rsidP="00EC3F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  <w:bookmarkStart w:id="0" w:name="_GoBack"/>
      <w:bookmarkEnd w:id="0"/>
    </w:p>
    <w:p w:rsidR="008A21CB" w:rsidRDefault="008A21CB" w:rsidP="00EC3F4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A2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884" w:rsidRDefault="00C30884">
      <w:pPr>
        <w:spacing w:after="0" w:line="240" w:lineRule="auto"/>
      </w:pPr>
      <w:r>
        <w:separator/>
      </w:r>
    </w:p>
  </w:endnote>
  <w:endnote w:type="continuationSeparator" w:id="0">
    <w:p w:rsidR="00C30884" w:rsidRDefault="00C30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884" w:rsidRDefault="00C30884">
      <w:pPr>
        <w:spacing w:after="0" w:line="240" w:lineRule="auto"/>
      </w:pPr>
      <w:r>
        <w:separator/>
      </w:r>
    </w:p>
  </w:footnote>
  <w:footnote w:type="continuationSeparator" w:id="0">
    <w:p w:rsidR="00C30884" w:rsidRDefault="00C308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4F"/>
    <w:rsid w:val="000E065A"/>
    <w:rsid w:val="00101F4F"/>
    <w:rsid w:val="001E00F5"/>
    <w:rsid w:val="001F5EC2"/>
    <w:rsid w:val="00476E18"/>
    <w:rsid w:val="00686212"/>
    <w:rsid w:val="006B728F"/>
    <w:rsid w:val="008372F1"/>
    <w:rsid w:val="008A21CB"/>
    <w:rsid w:val="00A2394F"/>
    <w:rsid w:val="00C30884"/>
    <w:rsid w:val="00EC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F24A"/>
  <w15:docId w15:val="{BD62367D-5273-4B55-A236-01D2D19F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BulletListFooterTextnumberedParagraphedeliste1lp1">
    <w:name w:val="Абзац списка;Bullet List;FooterText;numbered;Paragraphe de liste1;lp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Паламарчук Елена Владимировна</dc:creator>
  <cp:keywords/>
  <dc:description/>
  <cp:lastModifiedBy>Терентьева Светлана Николаевна</cp:lastModifiedBy>
  <cp:revision>19</cp:revision>
  <dcterms:created xsi:type="dcterms:W3CDTF">2023-12-04T03:56:00Z</dcterms:created>
  <dcterms:modified xsi:type="dcterms:W3CDTF">2026-03-31T08:03:00Z</dcterms:modified>
</cp:coreProperties>
</file>